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Mesure de réinsertion dans l`institution 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  <w:r>
        <w:rPr>
          <w:highlight w:val="lightGray"/>
          <w:lang w:val="de-CH" w:eastAsia="en-US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rPr>
                <w:rFonts w:cs="Arial"/>
                <w:color w:val="000000"/>
              </w:rPr>
            </w:pPr>
          </w:p>
        </w:tc>
      </w:tr>
    </w:tbl>
    <w:p>
      <w:pPr>
        <w:pStyle w:val="IVBETextNormal"/>
        <w:tabs>
          <w:tab w:val="clear" w:pos="5046"/>
          <w:tab w:val="left" w:pos="5245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Objectif: lntégration dans le marché primaire du travail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possible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encore impossible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Pronostic concernant la possibilité de placement sur le marché primaire du travail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soutiennent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</w:rPr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dans l’institution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789"/>
        <w:gridCol w:w="4793"/>
      </w:tblGrid>
      <w:tr>
        <w:trPr>
          <w:jc w:val="center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b/>
              </w:rPr>
              <w:t xml:space="preserve">Moyens auxiliaires / adaptations du poste de travail 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>
      <w:pPr>
        <w:pStyle w:val="IVBETextNormal"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  <w:r>
        <w:rPr>
          <w:sz w:val="16"/>
        </w:rPr>
        <w:tab/>
      </w: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Travaux réalisés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Remarque relative à la quantité</w:t>
            </w:r>
          </w:p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Une quantité de 100% correspond à un rendement moyen normal. La performance quantitative peut ainsi être supérieure à 100%.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Observations relatives au rendement / diminution du rendement 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82601462"/>
                <w:placeholder>
                  <w:docPart w:val="C8F3128F98904079AC404A6F082D09C1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557672579"/>
                <w:placeholder>
                  <w:docPart w:val="5F0D287141B745EAA5B9B5BA476DA9A1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lastRenderedPageBreak/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884103646"/>
                <w:placeholder>
                  <w:docPart w:val="FB9566CDF48B4D87817C4AB24A41DA1B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732697397"/>
                <w:placeholder>
                  <w:docPart w:val="0875541184554E1D9473F44584DEDF2E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548597016"/>
                <w:placeholder>
                  <w:docPart w:val="960C53B3D2D84EF4BD38B13E0B8B8F5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jc w:val="both"/>
              <w:rPr>
                <w:rFonts w:cs="Arial"/>
                <w:color w:val="000000"/>
              </w:rPr>
            </w:pPr>
          </w:p>
        </w:tc>
      </w:tr>
    </w:tbl>
    <w:p>
      <w:pPr>
        <w:pStyle w:val="IVBETitel"/>
        <w:rPr>
          <w:lang w:val="de-CH"/>
        </w:rPr>
      </w:pPr>
      <w:r>
        <w:rPr>
          <w:lang w:val="de-CH"/>
        </w:rP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lastRenderedPageBreak/>
              <w:t xml:space="preserve">Compétences et ressources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Barème pour l’évaluation du travail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en comparaison avec une personne ayant des capacités moyennes normales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très limité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>Justification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Ressources physiques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>Résistance, mobilité, sens de l’équilibre, motricité fine et grossière, déplacement, position assise, position debout,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br w:type="page"/>
            </w:r>
            <w:r>
              <w:rPr>
                <w:b/>
                <w:sz w:val="16"/>
              </w:rPr>
              <w:t>Ressources psychiques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Stabilité émotionnelle, gestion des horaires de travail irréguliers / travail posté / de nuit, gestion de la pression sur la performance / les délais, gestion des conflits,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Formation de base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Lecture, écriture, calcul, connaissances générales, connaissances spécifiques,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Capacité d’apprentissage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>Capacité de compréhension et compréhension des instructions, capacité d’observation, possibilité d’accéder aux acquis,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Méthode de travail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Mise en œuvre correcte, prise en compte des instructions, structure du travail, respect de la sécurité au travail / des consignes d’hygiène,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Fiabilité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Ponctualité, gestion des délais, respect des pauses, gestion des règles de l’entreprise,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Apparence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Tenue vestimentaire, hygiène corporelle, présentation dans le cadre professionnel,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Esprit d’équipe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Comportement social, collégialité, rôle dans l’équipe, considération, collaboration,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Manière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Capacités de communication adaptées à l’interlocuteur, gestion de la proximité/distance,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Capacité à recevoir les critiques / volonté d’apprendre 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Gestion de la critique constructive, comportement dans le processus d’apprentissage,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/>
    <w:p>
      <w:pPr>
        <w:pStyle w:val="IVBETextNormal"/>
        <w:rPr>
          <w:sz w:val="26"/>
          <w:szCs w:val="22"/>
        </w:rPr>
      </w:pPr>
    </w:p>
    <w:p>
      <w:pPr>
        <w:rPr>
          <w:lang w:eastAsia="de-CH"/>
        </w:rPr>
      </w:pPr>
    </w:p>
    <w:p>
      <w:pPr>
        <w:pStyle w:val="IVBETextNormal"/>
      </w:pPr>
    </w:p>
    <w:p/>
    <w:p/>
    <w:p/>
    <w:p/>
    <w:p/>
    <w:p/>
    <w:p/>
    <w:p/>
    <w:p/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bookmarkStart w:id="0" w:name="_GoBack"/>
            <w:r>
              <w:rPr>
                <w:color w:val="000000"/>
                <w:highlight w:val="lightGray"/>
              </w:rPr>
              <w:t>     </w:t>
            </w:r>
            <w:bookmarkEnd w:id="0"/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B7C5665BEC584D5FBF2FF381AFF53907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Questions supplémentaires si une formation est prévue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1082"/>
        <w:gridCol w:w="373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incertain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Justification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Y a-t-il une capacité de formation?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sur le marché primaire du travail est-elle possible?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dans l’institution est-elle recommandée?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Un salaire horaire de CHF 2.60 après la formation peut-il être atteint?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Des mesures particulières pour soutenir la formation sont-elles recommandées?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Quel niveau de formation est recommandé?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highlight w:val="lightGray"/>
              </w:rPr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1682624385"/>
                <w:placeholder>
                  <w:docPart w:val="D2B3E82A5B344B7789FF674E2C250EBB"/>
                </w:placeholder>
                <w:dropDownList>
                  <w:listItem w:displayText=" --- Faire une sélection ---" w:value=" --- Faire une sélection ---"/>
                  <w:listItem w:displayText="CFC" w:value="CFC"/>
                  <w:listItem w:displayText="AFP" w:value="AFP"/>
                  <w:listItem w:displayText="FPra Insos" w:value="FPra Insos"/>
                  <w:listItem w:displayText="Formation élémentaire AI" w:value="Formation élémentaire AI"/>
                  <w:listItem w:displayText="Autres " w:value="Aut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lastRenderedPageBreak/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</w:p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9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8F3128F98904079AC404A6F082D0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C10F2-565B-4928-AA24-2F379F26B890}"/>
      </w:docPartPr>
      <w:docPartBody>
        <w:p>
          <w:pPr>
            <w:pStyle w:val="C8F3128F98904079AC404A6F082D09C1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F0D287141B745EAA5B9B5BA476DA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74C0D-B9C0-4686-8348-E08C3574461C}"/>
      </w:docPartPr>
      <w:docPartBody>
        <w:p>
          <w:pPr>
            <w:pStyle w:val="5F0D287141B745EAA5B9B5BA476DA9A1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B9566CDF48B4D87817C4AB24A41DA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AC3CB-73BA-419F-AFE5-3EF39544DF8C}"/>
      </w:docPartPr>
      <w:docPartBody>
        <w:p>
          <w:pPr>
            <w:pStyle w:val="FB9566CDF48B4D87817C4AB24A41DA1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0875541184554E1D9473F44584DEDF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1BCE0-355E-4C56-AE2E-8C2319369741}"/>
      </w:docPartPr>
      <w:docPartBody>
        <w:p>
          <w:pPr>
            <w:pStyle w:val="0875541184554E1D9473F44584DEDF2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960C53B3D2D84EF4BD38B13E0B8B8F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6FDB9-D5DF-4682-BC5B-97DB27FF4693}"/>
      </w:docPartPr>
      <w:docPartBody>
        <w:p>
          <w:pPr>
            <w:pStyle w:val="960C53B3D2D84EF4BD38B13E0B8B8F52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2B3E82A5B344B7789FF674E2C250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C0501-72C1-4AEF-AEE0-D71C075F3622}"/>
      </w:docPartPr>
      <w:docPartBody>
        <w:p>
          <w:pPr>
            <w:pStyle w:val="D2B3E82A5B344B7789FF674E2C250EB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7C5665BEC584D5FBF2FF381AFF53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7CC80D-8719-4C77-AB82-66208DD93D2B}"/>
      </w:docPartPr>
      <w:docPartBody>
        <w:p>
          <w:pPr>
            <w:pStyle w:val="B7C5665BEC584D5FBF2FF381AFF53907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B7C5665BEC584D5FBF2FF381AFF53907">
    <w:name w:val="B7C5665BEC584D5FBF2FF381AFF539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6C42C-84E0-4E21-A879-6E225A7A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1478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5</cp:revision>
  <dcterms:created xsi:type="dcterms:W3CDTF">2024-02-16T10:15:00Z</dcterms:created>
  <dcterms:modified xsi:type="dcterms:W3CDTF">2024-06-14T06:40:00Z</dcterms:modified>
</cp:coreProperties>
</file>